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F8E" w:rsidRDefault="00FB184A" w:rsidP="00302D96">
      <w:pPr>
        <w:widowControl/>
        <w:tabs>
          <w:tab w:val="left" w:pos="703"/>
        </w:tabs>
        <w:jc w:val="left"/>
        <w:rPr>
          <w:rFonts w:asciiTheme="minorEastAsia" w:hAnsiTheme="minorEastAsia"/>
          <w:sz w:val="28"/>
          <w:szCs w:val="28"/>
        </w:rPr>
      </w:pPr>
      <w:r>
        <w:rPr>
          <w:rFonts w:asciiTheme="minorEastAsia" w:hAnsiTheme="minorEastAsia" w:hint="eastAsia"/>
          <w:sz w:val="28"/>
          <w:szCs w:val="28"/>
        </w:rPr>
        <w:t>附件</w:t>
      </w:r>
      <w:r w:rsidR="008745BB">
        <w:rPr>
          <w:rFonts w:asciiTheme="minorEastAsia" w:hAnsiTheme="minorEastAsia"/>
          <w:sz w:val="28"/>
          <w:szCs w:val="28"/>
        </w:rPr>
        <w:t>2</w:t>
      </w:r>
    </w:p>
    <w:p w:rsidR="00014CEF" w:rsidRPr="000A409E" w:rsidRDefault="00014CEF" w:rsidP="00014CEF">
      <w:pPr>
        <w:jc w:val="center"/>
        <w:rPr>
          <w:rFonts w:ascii="黑体" w:eastAsia="黑体" w:hAnsi="黑体"/>
          <w:b/>
          <w:sz w:val="32"/>
          <w:szCs w:val="28"/>
        </w:rPr>
      </w:pPr>
      <w:r w:rsidRPr="000A409E">
        <w:rPr>
          <w:rFonts w:ascii="黑体" w:eastAsia="黑体" w:hAnsi="黑体" w:hint="eastAsia"/>
          <w:b/>
          <w:sz w:val="32"/>
          <w:szCs w:val="28"/>
        </w:rPr>
        <w:t>经济管理学院2017年“春蕾计划”拟立项名单</w:t>
      </w:r>
    </w:p>
    <w:tbl>
      <w:tblPr>
        <w:tblW w:w="9221" w:type="dxa"/>
        <w:jc w:val="center"/>
        <w:tblLook w:val="04A0" w:firstRow="1" w:lastRow="0" w:firstColumn="1" w:lastColumn="0" w:noHBand="0" w:noVBand="1"/>
      </w:tblPr>
      <w:tblGrid>
        <w:gridCol w:w="709"/>
        <w:gridCol w:w="1547"/>
        <w:gridCol w:w="851"/>
        <w:gridCol w:w="992"/>
        <w:gridCol w:w="3840"/>
        <w:gridCol w:w="1282"/>
      </w:tblGrid>
      <w:tr w:rsidR="00FA437F" w:rsidRPr="00014CEF" w:rsidTr="00FA437F">
        <w:trPr>
          <w:trHeight w:val="499"/>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b/>
                <w:bCs/>
                <w:color w:val="000000"/>
                <w:kern w:val="0"/>
                <w:sz w:val="20"/>
                <w:szCs w:val="20"/>
              </w:rPr>
            </w:pPr>
            <w:r w:rsidRPr="00014CEF">
              <w:rPr>
                <w:rFonts w:ascii="宋体" w:eastAsia="宋体" w:hAnsi="宋体" w:cs="宋体" w:hint="eastAsia"/>
                <w:b/>
                <w:bCs/>
                <w:color w:val="000000"/>
                <w:kern w:val="0"/>
                <w:sz w:val="20"/>
                <w:szCs w:val="20"/>
              </w:rPr>
              <w:t>序号</w:t>
            </w:r>
          </w:p>
        </w:tc>
        <w:tc>
          <w:tcPr>
            <w:tcW w:w="1547" w:type="dxa"/>
            <w:tcBorders>
              <w:top w:val="single" w:sz="4" w:space="0" w:color="auto"/>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b/>
                <w:bCs/>
                <w:color w:val="000000"/>
                <w:kern w:val="0"/>
                <w:sz w:val="20"/>
                <w:szCs w:val="20"/>
              </w:rPr>
            </w:pPr>
            <w:r w:rsidRPr="00014CEF">
              <w:rPr>
                <w:rFonts w:ascii="宋体" w:eastAsia="宋体" w:hAnsi="宋体" w:cs="宋体" w:hint="eastAsia"/>
                <w:b/>
                <w:bCs/>
                <w:color w:val="000000"/>
                <w:kern w:val="0"/>
                <w:sz w:val="20"/>
                <w:szCs w:val="20"/>
              </w:rPr>
              <w:t>专业</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b/>
                <w:bCs/>
                <w:color w:val="000000"/>
                <w:kern w:val="0"/>
                <w:sz w:val="20"/>
                <w:szCs w:val="20"/>
              </w:rPr>
            </w:pPr>
            <w:r w:rsidRPr="00014CEF">
              <w:rPr>
                <w:rFonts w:ascii="宋体" w:eastAsia="宋体" w:hAnsi="宋体" w:cs="宋体" w:hint="eastAsia"/>
                <w:b/>
                <w:bCs/>
                <w:color w:val="000000"/>
                <w:kern w:val="0"/>
                <w:sz w:val="20"/>
                <w:szCs w:val="20"/>
              </w:rPr>
              <w:t>姓名</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b/>
                <w:bCs/>
                <w:color w:val="000000"/>
                <w:kern w:val="0"/>
                <w:sz w:val="20"/>
                <w:szCs w:val="20"/>
              </w:rPr>
            </w:pPr>
            <w:r w:rsidRPr="00014CEF">
              <w:rPr>
                <w:rFonts w:ascii="宋体" w:eastAsia="宋体" w:hAnsi="宋体" w:cs="宋体" w:hint="eastAsia"/>
                <w:b/>
                <w:bCs/>
                <w:color w:val="000000"/>
                <w:kern w:val="0"/>
                <w:sz w:val="20"/>
                <w:szCs w:val="20"/>
              </w:rPr>
              <w:t>导师</w:t>
            </w:r>
          </w:p>
        </w:tc>
        <w:tc>
          <w:tcPr>
            <w:tcW w:w="3840" w:type="dxa"/>
            <w:tcBorders>
              <w:top w:val="single" w:sz="4" w:space="0" w:color="auto"/>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b/>
                <w:bCs/>
                <w:color w:val="000000"/>
                <w:kern w:val="0"/>
                <w:sz w:val="20"/>
                <w:szCs w:val="20"/>
              </w:rPr>
            </w:pPr>
            <w:r w:rsidRPr="00014CEF">
              <w:rPr>
                <w:rFonts w:ascii="宋体" w:eastAsia="宋体" w:hAnsi="宋体" w:cs="宋体" w:hint="eastAsia"/>
                <w:b/>
                <w:bCs/>
                <w:color w:val="000000"/>
                <w:kern w:val="0"/>
                <w:sz w:val="20"/>
                <w:szCs w:val="20"/>
              </w:rPr>
              <w:t>项目名称</w:t>
            </w:r>
          </w:p>
        </w:tc>
        <w:tc>
          <w:tcPr>
            <w:tcW w:w="1282" w:type="dxa"/>
            <w:tcBorders>
              <w:top w:val="single" w:sz="4" w:space="0" w:color="auto"/>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b/>
                <w:bCs/>
                <w:color w:val="000000"/>
                <w:kern w:val="0"/>
                <w:sz w:val="20"/>
                <w:szCs w:val="20"/>
              </w:rPr>
            </w:pPr>
            <w:bookmarkStart w:id="0" w:name="_GoBack"/>
            <w:bookmarkEnd w:id="0"/>
            <w:r w:rsidRPr="00014CEF">
              <w:rPr>
                <w:rFonts w:ascii="宋体" w:eastAsia="宋体" w:hAnsi="宋体" w:cs="宋体" w:hint="eastAsia"/>
                <w:b/>
                <w:bCs/>
                <w:color w:val="000000"/>
                <w:kern w:val="0"/>
                <w:sz w:val="20"/>
                <w:szCs w:val="20"/>
              </w:rPr>
              <w:t>获资助金额（元）</w:t>
            </w:r>
          </w:p>
        </w:tc>
      </w:tr>
      <w:tr w:rsidR="00FA437F" w:rsidRPr="00014CEF" w:rsidTr="00FA437F">
        <w:trPr>
          <w:trHeight w:val="499"/>
          <w:jc w:val="center"/>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1</w:t>
            </w:r>
          </w:p>
        </w:tc>
        <w:tc>
          <w:tcPr>
            <w:tcW w:w="1547"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农业经济管理</w:t>
            </w:r>
          </w:p>
        </w:tc>
        <w:tc>
          <w:tcPr>
            <w:tcW w:w="851"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李芬妮</w:t>
            </w:r>
          </w:p>
        </w:tc>
        <w:tc>
          <w:tcPr>
            <w:tcW w:w="992"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张俊飚</w:t>
            </w:r>
          </w:p>
        </w:tc>
        <w:tc>
          <w:tcPr>
            <w:tcW w:w="3840"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村规民约、环境规制与农户绿色生产行为研究——以湖北省为例</w:t>
            </w:r>
          </w:p>
        </w:tc>
        <w:tc>
          <w:tcPr>
            <w:tcW w:w="1282"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2000</w:t>
            </w:r>
          </w:p>
        </w:tc>
      </w:tr>
      <w:tr w:rsidR="00FA437F" w:rsidRPr="00014CEF" w:rsidTr="00FA437F">
        <w:trPr>
          <w:trHeight w:val="499"/>
          <w:jc w:val="center"/>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2</w:t>
            </w:r>
          </w:p>
        </w:tc>
        <w:tc>
          <w:tcPr>
            <w:tcW w:w="1547"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农业经济管理</w:t>
            </w:r>
          </w:p>
        </w:tc>
        <w:tc>
          <w:tcPr>
            <w:tcW w:w="851"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郑宏运</w:t>
            </w:r>
          </w:p>
        </w:tc>
        <w:tc>
          <w:tcPr>
            <w:tcW w:w="992"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李谷成</w:t>
            </w:r>
          </w:p>
        </w:tc>
        <w:tc>
          <w:tcPr>
            <w:tcW w:w="3840"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要素错配与我国农业全要素生产率损失研究</w:t>
            </w:r>
          </w:p>
        </w:tc>
        <w:tc>
          <w:tcPr>
            <w:tcW w:w="1282"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2000</w:t>
            </w:r>
          </w:p>
        </w:tc>
      </w:tr>
      <w:tr w:rsidR="00FA437F" w:rsidRPr="00014CEF" w:rsidTr="00FA437F">
        <w:trPr>
          <w:trHeight w:val="499"/>
          <w:jc w:val="center"/>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3</w:t>
            </w:r>
          </w:p>
        </w:tc>
        <w:tc>
          <w:tcPr>
            <w:tcW w:w="1547"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农业经济管理</w:t>
            </w:r>
          </w:p>
        </w:tc>
        <w:tc>
          <w:tcPr>
            <w:tcW w:w="851"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王翠翠</w:t>
            </w:r>
          </w:p>
        </w:tc>
        <w:tc>
          <w:tcPr>
            <w:tcW w:w="992"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夏春萍</w:t>
            </w:r>
          </w:p>
        </w:tc>
        <w:tc>
          <w:tcPr>
            <w:tcW w:w="3840"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 xml:space="preserve">村域社会资本对农户合作参与电商   </w:t>
            </w:r>
            <w:r w:rsidRPr="00014CEF">
              <w:rPr>
                <w:rFonts w:ascii="宋体" w:eastAsia="宋体" w:hAnsi="宋体" w:cs="宋体" w:hint="eastAsia"/>
                <w:color w:val="000000"/>
                <w:kern w:val="0"/>
                <w:sz w:val="20"/>
                <w:szCs w:val="20"/>
              </w:rPr>
              <w:br/>
              <w:t>经营行为的影响研究</w:t>
            </w:r>
          </w:p>
        </w:tc>
        <w:tc>
          <w:tcPr>
            <w:tcW w:w="1282"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2000</w:t>
            </w:r>
          </w:p>
        </w:tc>
      </w:tr>
      <w:tr w:rsidR="00FA437F" w:rsidRPr="00014CEF" w:rsidTr="00FA437F">
        <w:trPr>
          <w:trHeight w:val="499"/>
          <w:jc w:val="center"/>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4</w:t>
            </w:r>
          </w:p>
        </w:tc>
        <w:tc>
          <w:tcPr>
            <w:tcW w:w="1547"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农业经济管理</w:t>
            </w:r>
          </w:p>
        </w:tc>
        <w:tc>
          <w:tcPr>
            <w:tcW w:w="851"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雷欣悦</w:t>
            </w:r>
          </w:p>
        </w:tc>
        <w:tc>
          <w:tcPr>
            <w:tcW w:w="992"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夏春萍</w:t>
            </w:r>
          </w:p>
        </w:tc>
        <w:tc>
          <w:tcPr>
            <w:tcW w:w="3840"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交易成本对农户电商交易平台选择的影响研究——基于XX类农产品的调查</w:t>
            </w:r>
          </w:p>
        </w:tc>
        <w:tc>
          <w:tcPr>
            <w:tcW w:w="1282"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2000</w:t>
            </w:r>
          </w:p>
        </w:tc>
      </w:tr>
      <w:tr w:rsidR="00FA437F" w:rsidRPr="00014CEF" w:rsidTr="00FA437F">
        <w:trPr>
          <w:trHeight w:val="499"/>
          <w:jc w:val="center"/>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5</w:t>
            </w:r>
          </w:p>
        </w:tc>
        <w:tc>
          <w:tcPr>
            <w:tcW w:w="1547"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农业经济管理</w:t>
            </w:r>
          </w:p>
        </w:tc>
        <w:tc>
          <w:tcPr>
            <w:tcW w:w="851"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冷亦欣</w:t>
            </w:r>
          </w:p>
        </w:tc>
        <w:tc>
          <w:tcPr>
            <w:tcW w:w="992"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孙山</w:t>
            </w:r>
          </w:p>
        </w:tc>
        <w:tc>
          <w:tcPr>
            <w:tcW w:w="3840"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市场创新性、技术创新性与农户粮食新品种种植意愿研究——以营养强化小麦为例</w:t>
            </w:r>
          </w:p>
        </w:tc>
        <w:tc>
          <w:tcPr>
            <w:tcW w:w="1282"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2000</w:t>
            </w:r>
          </w:p>
        </w:tc>
      </w:tr>
      <w:tr w:rsidR="00FA437F" w:rsidRPr="00014CEF" w:rsidTr="00FA437F">
        <w:trPr>
          <w:trHeight w:val="499"/>
          <w:jc w:val="center"/>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6</w:t>
            </w:r>
          </w:p>
        </w:tc>
        <w:tc>
          <w:tcPr>
            <w:tcW w:w="1547"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农业经济管理</w:t>
            </w:r>
          </w:p>
        </w:tc>
        <w:tc>
          <w:tcPr>
            <w:tcW w:w="851"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罗斯炫</w:t>
            </w:r>
          </w:p>
        </w:tc>
        <w:tc>
          <w:tcPr>
            <w:tcW w:w="992"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 xml:space="preserve">张俊飚   </w:t>
            </w:r>
          </w:p>
        </w:tc>
        <w:tc>
          <w:tcPr>
            <w:tcW w:w="3840"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 xml:space="preserve">城镇化进程中财政支农支出对农村居民消费增长影响的非线性效应研究          </w:t>
            </w:r>
          </w:p>
        </w:tc>
        <w:tc>
          <w:tcPr>
            <w:tcW w:w="1282"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2000</w:t>
            </w:r>
          </w:p>
        </w:tc>
      </w:tr>
      <w:tr w:rsidR="00FA437F" w:rsidRPr="00014CEF" w:rsidTr="00FA437F">
        <w:trPr>
          <w:trHeight w:val="499"/>
          <w:jc w:val="center"/>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7</w:t>
            </w:r>
          </w:p>
        </w:tc>
        <w:tc>
          <w:tcPr>
            <w:tcW w:w="1547"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农业经济管理</w:t>
            </w:r>
          </w:p>
        </w:tc>
        <w:tc>
          <w:tcPr>
            <w:tcW w:w="851"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畅华仪</w:t>
            </w:r>
          </w:p>
        </w:tc>
        <w:tc>
          <w:tcPr>
            <w:tcW w:w="992"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张俊飚</w:t>
            </w:r>
          </w:p>
        </w:tc>
        <w:tc>
          <w:tcPr>
            <w:tcW w:w="3840"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气候变化背景下的农民组织化对沼气技术扩散的影响研究</w:t>
            </w:r>
          </w:p>
        </w:tc>
        <w:tc>
          <w:tcPr>
            <w:tcW w:w="1282"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2000</w:t>
            </w:r>
          </w:p>
        </w:tc>
      </w:tr>
      <w:tr w:rsidR="00FA437F" w:rsidRPr="00014CEF" w:rsidTr="00FA437F">
        <w:trPr>
          <w:trHeight w:val="499"/>
          <w:jc w:val="center"/>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8</w:t>
            </w:r>
          </w:p>
        </w:tc>
        <w:tc>
          <w:tcPr>
            <w:tcW w:w="1547"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农林经济管理</w:t>
            </w:r>
          </w:p>
        </w:tc>
        <w:tc>
          <w:tcPr>
            <w:tcW w:w="851"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余倩琳</w:t>
            </w:r>
          </w:p>
        </w:tc>
        <w:tc>
          <w:tcPr>
            <w:tcW w:w="992"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孙山</w:t>
            </w:r>
          </w:p>
        </w:tc>
        <w:tc>
          <w:tcPr>
            <w:tcW w:w="3840"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消费者作物营养强化产品的感知风险：结构、前置因素及对消费者购买意愿的影响</w:t>
            </w:r>
          </w:p>
        </w:tc>
        <w:tc>
          <w:tcPr>
            <w:tcW w:w="1282"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2000</w:t>
            </w:r>
          </w:p>
        </w:tc>
      </w:tr>
      <w:tr w:rsidR="00FA437F" w:rsidRPr="00014CEF" w:rsidTr="00FA437F">
        <w:trPr>
          <w:trHeight w:val="499"/>
          <w:jc w:val="center"/>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9</w:t>
            </w:r>
          </w:p>
        </w:tc>
        <w:tc>
          <w:tcPr>
            <w:tcW w:w="1547"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产业经济学</w:t>
            </w:r>
          </w:p>
        </w:tc>
        <w:tc>
          <w:tcPr>
            <w:tcW w:w="851"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陈城</w:t>
            </w:r>
          </w:p>
        </w:tc>
        <w:tc>
          <w:tcPr>
            <w:tcW w:w="992"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 xml:space="preserve">曾光 </w:t>
            </w:r>
          </w:p>
        </w:tc>
        <w:tc>
          <w:tcPr>
            <w:tcW w:w="3840"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产业专业化、多样化与小城镇经济增长</w:t>
            </w:r>
          </w:p>
        </w:tc>
        <w:tc>
          <w:tcPr>
            <w:tcW w:w="1282"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2000</w:t>
            </w:r>
          </w:p>
        </w:tc>
      </w:tr>
      <w:tr w:rsidR="00FA437F" w:rsidRPr="00014CEF" w:rsidTr="00FA437F">
        <w:trPr>
          <w:trHeight w:val="499"/>
          <w:jc w:val="center"/>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10</w:t>
            </w:r>
          </w:p>
        </w:tc>
        <w:tc>
          <w:tcPr>
            <w:tcW w:w="1547"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产业经济学</w:t>
            </w:r>
          </w:p>
        </w:tc>
        <w:tc>
          <w:tcPr>
            <w:tcW w:w="851"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马驰</w:t>
            </w:r>
          </w:p>
        </w:tc>
        <w:tc>
          <w:tcPr>
            <w:tcW w:w="992"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陶建平</w:t>
            </w:r>
          </w:p>
        </w:tc>
        <w:tc>
          <w:tcPr>
            <w:tcW w:w="3840"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规模经营农户的风险感知与农业保险需求研究</w:t>
            </w:r>
          </w:p>
        </w:tc>
        <w:tc>
          <w:tcPr>
            <w:tcW w:w="1282"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2000</w:t>
            </w:r>
          </w:p>
        </w:tc>
      </w:tr>
      <w:tr w:rsidR="00FA437F" w:rsidRPr="00014CEF" w:rsidTr="00FA437F">
        <w:trPr>
          <w:trHeight w:val="499"/>
          <w:jc w:val="center"/>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11</w:t>
            </w:r>
          </w:p>
        </w:tc>
        <w:tc>
          <w:tcPr>
            <w:tcW w:w="1547"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国际贸易学</w:t>
            </w:r>
          </w:p>
        </w:tc>
        <w:tc>
          <w:tcPr>
            <w:tcW w:w="851"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高奇正</w:t>
            </w:r>
          </w:p>
        </w:tc>
        <w:tc>
          <w:tcPr>
            <w:tcW w:w="992"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刘颖</w:t>
            </w:r>
          </w:p>
        </w:tc>
        <w:tc>
          <w:tcPr>
            <w:tcW w:w="3840"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中国农业对外直接投资区位的分布研究</w:t>
            </w:r>
          </w:p>
        </w:tc>
        <w:tc>
          <w:tcPr>
            <w:tcW w:w="1282"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2000</w:t>
            </w:r>
          </w:p>
        </w:tc>
      </w:tr>
      <w:tr w:rsidR="00FA437F" w:rsidRPr="00014CEF" w:rsidTr="00FA437F">
        <w:trPr>
          <w:trHeight w:val="499"/>
          <w:jc w:val="center"/>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12</w:t>
            </w:r>
          </w:p>
        </w:tc>
        <w:tc>
          <w:tcPr>
            <w:tcW w:w="1547"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产业经济学</w:t>
            </w:r>
          </w:p>
        </w:tc>
        <w:tc>
          <w:tcPr>
            <w:tcW w:w="851"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刘大鹏</w:t>
            </w:r>
          </w:p>
        </w:tc>
        <w:tc>
          <w:tcPr>
            <w:tcW w:w="992"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刘颖</w:t>
            </w:r>
          </w:p>
        </w:tc>
        <w:tc>
          <w:tcPr>
            <w:tcW w:w="3840"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土地转入能提高土地产出率吗？——以江汉平原水稻种植大户为例</w:t>
            </w:r>
          </w:p>
        </w:tc>
        <w:tc>
          <w:tcPr>
            <w:tcW w:w="1282"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2000</w:t>
            </w:r>
          </w:p>
        </w:tc>
      </w:tr>
      <w:tr w:rsidR="00FA437F" w:rsidRPr="00014CEF" w:rsidTr="00FA437F">
        <w:trPr>
          <w:trHeight w:val="499"/>
          <w:jc w:val="center"/>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13</w:t>
            </w:r>
          </w:p>
        </w:tc>
        <w:tc>
          <w:tcPr>
            <w:tcW w:w="1547"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产业经济学</w:t>
            </w:r>
          </w:p>
        </w:tc>
        <w:tc>
          <w:tcPr>
            <w:tcW w:w="851"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蒯昊</w:t>
            </w:r>
          </w:p>
        </w:tc>
        <w:tc>
          <w:tcPr>
            <w:tcW w:w="992"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刘颖</w:t>
            </w:r>
          </w:p>
        </w:tc>
        <w:tc>
          <w:tcPr>
            <w:tcW w:w="3840"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国际大米价格波动对国内大米价格的传递效应研究</w:t>
            </w:r>
          </w:p>
        </w:tc>
        <w:tc>
          <w:tcPr>
            <w:tcW w:w="1282"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2000</w:t>
            </w:r>
          </w:p>
        </w:tc>
      </w:tr>
      <w:tr w:rsidR="00FA437F" w:rsidRPr="00014CEF" w:rsidTr="00FA437F">
        <w:trPr>
          <w:trHeight w:val="499"/>
          <w:jc w:val="center"/>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14</w:t>
            </w:r>
          </w:p>
        </w:tc>
        <w:tc>
          <w:tcPr>
            <w:tcW w:w="1547"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产业经济学</w:t>
            </w:r>
          </w:p>
        </w:tc>
        <w:tc>
          <w:tcPr>
            <w:tcW w:w="851"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何怡蒙</w:t>
            </w:r>
          </w:p>
        </w:tc>
        <w:tc>
          <w:tcPr>
            <w:tcW w:w="992"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 xml:space="preserve">章胜勇 </w:t>
            </w:r>
          </w:p>
        </w:tc>
        <w:tc>
          <w:tcPr>
            <w:tcW w:w="3840"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种养结合模式下的生猪养殖适度规模研究</w:t>
            </w:r>
          </w:p>
        </w:tc>
        <w:tc>
          <w:tcPr>
            <w:tcW w:w="1282"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2000</w:t>
            </w:r>
          </w:p>
        </w:tc>
      </w:tr>
      <w:tr w:rsidR="00FA437F" w:rsidRPr="00014CEF" w:rsidTr="00FA437F">
        <w:trPr>
          <w:trHeight w:val="499"/>
          <w:jc w:val="center"/>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15</w:t>
            </w:r>
          </w:p>
        </w:tc>
        <w:tc>
          <w:tcPr>
            <w:tcW w:w="1547"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国际贸易学</w:t>
            </w:r>
          </w:p>
        </w:tc>
        <w:tc>
          <w:tcPr>
            <w:tcW w:w="851"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张莲燕</w:t>
            </w:r>
          </w:p>
        </w:tc>
        <w:tc>
          <w:tcPr>
            <w:tcW w:w="992"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朱再清</w:t>
            </w:r>
          </w:p>
        </w:tc>
        <w:tc>
          <w:tcPr>
            <w:tcW w:w="3840"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 xml:space="preserve">电商营销竞争下园艺类特色农产品          </w:t>
            </w:r>
            <w:r w:rsidRPr="00014CEF">
              <w:rPr>
                <w:rFonts w:ascii="宋体" w:eastAsia="宋体" w:hAnsi="宋体" w:cs="宋体" w:hint="eastAsia"/>
                <w:color w:val="000000"/>
                <w:kern w:val="0"/>
                <w:sz w:val="20"/>
                <w:szCs w:val="20"/>
              </w:rPr>
              <w:br/>
              <w:t xml:space="preserve">        产销量影响因素的研究 </w:t>
            </w:r>
          </w:p>
        </w:tc>
        <w:tc>
          <w:tcPr>
            <w:tcW w:w="1282"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2000</w:t>
            </w:r>
          </w:p>
        </w:tc>
      </w:tr>
      <w:tr w:rsidR="00FA437F" w:rsidRPr="00014CEF" w:rsidTr="00FA437F">
        <w:trPr>
          <w:trHeight w:val="499"/>
          <w:jc w:val="center"/>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16</w:t>
            </w:r>
          </w:p>
        </w:tc>
        <w:tc>
          <w:tcPr>
            <w:tcW w:w="1547"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农推</w:t>
            </w:r>
          </w:p>
        </w:tc>
        <w:tc>
          <w:tcPr>
            <w:tcW w:w="851"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王远凤</w:t>
            </w:r>
          </w:p>
        </w:tc>
        <w:tc>
          <w:tcPr>
            <w:tcW w:w="992"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秦臻</w:t>
            </w:r>
          </w:p>
        </w:tc>
        <w:tc>
          <w:tcPr>
            <w:tcW w:w="3840"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一带一路战略下中国藻类产品对外贸易研究</w:t>
            </w:r>
          </w:p>
        </w:tc>
        <w:tc>
          <w:tcPr>
            <w:tcW w:w="1282"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2000</w:t>
            </w:r>
          </w:p>
        </w:tc>
      </w:tr>
      <w:tr w:rsidR="00FA437F" w:rsidRPr="00014CEF" w:rsidTr="00FA437F">
        <w:trPr>
          <w:trHeight w:val="499"/>
          <w:jc w:val="center"/>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17</w:t>
            </w:r>
          </w:p>
        </w:tc>
        <w:tc>
          <w:tcPr>
            <w:tcW w:w="1547"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企业管理</w:t>
            </w:r>
          </w:p>
        </w:tc>
        <w:tc>
          <w:tcPr>
            <w:tcW w:w="851"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李林竹</w:t>
            </w:r>
          </w:p>
        </w:tc>
        <w:tc>
          <w:tcPr>
            <w:tcW w:w="992"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李艳军</w:t>
            </w:r>
          </w:p>
        </w:tc>
        <w:tc>
          <w:tcPr>
            <w:tcW w:w="3840"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为利驱动还是为义驱动：评论奖励计划对</w:t>
            </w:r>
            <w:r w:rsidRPr="00014CEF">
              <w:rPr>
                <w:rFonts w:ascii="宋体" w:eastAsia="宋体" w:hAnsi="宋体" w:cs="宋体" w:hint="eastAsia"/>
                <w:color w:val="000000"/>
                <w:kern w:val="0"/>
                <w:sz w:val="20"/>
                <w:szCs w:val="20"/>
              </w:rPr>
              <w:br/>
              <w:t>消费者在线评论意愿的影响研究</w:t>
            </w:r>
          </w:p>
        </w:tc>
        <w:tc>
          <w:tcPr>
            <w:tcW w:w="1282"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2000</w:t>
            </w:r>
          </w:p>
        </w:tc>
      </w:tr>
      <w:tr w:rsidR="00FA437F" w:rsidRPr="00014CEF" w:rsidTr="00FA437F">
        <w:trPr>
          <w:trHeight w:val="499"/>
          <w:jc w:val="center"/>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18</w:t>
            </w:r>
          </w:p>
        </w:tc>
        <w:tc>
          <w:tcPr>
            <w:tcW w:w="1547"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企业管理</w:t>
            </w:r>
          </w:p>
        </w:tc>
        <w:tc>
          <w:tcPr>
            <w:tcW w:w="851"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唐一凡</w:t>
            </w:r>
          </w:p>
        </w:tc>
        <w:tc>
          <w:tcPr>
            <w:tcW w:w="992"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肖邦明</w:t>
            </w:r>
          </w:p>
        </w:tc>
        <w:tc>
          <w:tcPr>
            <w:tcW w:w="3840"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“变色”一定“色变”？强化类型对消费者营养强化产品购买意愿影响机制研究</w:t>
            </w:r>
          </w:p>
        </w:tc>
        <w:tc>
          <w:tcPr>
            <w:tcW w:w="1282"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2000</w:t>
            </w:r>
          </w:p>
        </w:tc>
      </w:tr>
      <w:tr w:rsidR="00FA437F" w:rsidRPr="00014CEF" w:rsidTr="00FA437F">
        <w:trPr>
          <w:trHeight w:val="499"/>
          <w:jc w:val="center"/>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19</w:t>
            </w:r>
          </w:p>
        </w:tc>
        <w:tc>
          <w:tcPr>
            <w:tcW w:w="1547"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农推</w:t>
            </w:r>
          </w:p>
        </w:tc>
        <w:tc>
          <w:tcPr>
            <w:tcW w:w="851"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谢杰</w:t>
            </w:r>
          </w:p>
        </w:tc>
        <w:tc>
          <w:tcPr>
            <w:tcW w:w="992"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肖邦明</w:t>
            </w:r>
          </w:p>
        </w:tc>
        <w:tc>
          <w:tcPr>
            <w:tcW w:w="3840"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食物排列方式对消费者选择的影响：基于食物间营养关系的视角</w:t>
            </w:r>
          </w:p>
        </w:tc>
        <w:tc>
          <w:tcPr>
            <w:tcW w:w="1282" w:type="dxa"/>
            <w:tcBorders>
              <w:top w:val="nil"/>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2000</w:t>
            </w:r>
          </w:p>
        </w:tc>
      </w:tr>
      <w:tr w:rsidR="00FA437F" w:rsidRPr="00014CEF" w:rsidTr="00FA437F">
        <w:trPr>
          <w:trHeight w:val="499"/>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lastRenderedPageBreak/>
              <w:t>20</w:t>
            </w:r>
          </w:p>
        </w:tc>
        <w:tc>
          <w:tcPr>
            <w:tcW w:w="1547" w:type="dxa"/>
            <w:tcBorders>
              <w:top w:val="single" w:sz="4" w:space="0" w:color="auto"/>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企业管理</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匡伊婷</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张晓恒</w:t>
            </w:r>
          </w:p>
        </w:tc>
        <w:tc>
          <w:tcPr>
            <w:tcW w:w="3840" w:type="dxa"/>
            <w:tcBorders>
              <w:top w:val="single" w:sz="4" w:space="0" w:color="auto"/>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食物之间营养关系、消费者感知创新性对消费者购买意愿影响的研究</w:t>
            </w:r>
          </w:p>
        </w:tc>
        <w:tc>
          <w:tcPr>
            <w:tcW w:w="1282" w:type="dxa"/>
            <w:tcBorders>
              <w:top w:val="single" w:sz="4" w:space="0" w:color="auto"/>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2000</w:t>
            </w:r>
          </w:p>
        </w:tc>
      </w:tr>
      <w:tr w:rsidR="00FA437F" w:rsidRPr="00014CEF" w:rsidTr="00FA437F">
        <w:trPr>
          <w:trHeight w:val="499"/>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21</w:t>
            </w:r>
          </w:p>
        </w:tc>
        <w:tc>
          <w:tcPr>
            <w:tcW w:w="1547" w:type="dxa"/>
            <w:tcBorders>
              <w:top w:val="single" w:sz="4" w:space="0" w:color="auto"/>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企业管理</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李涵</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张晓恒</w:t>
            </w:r>
          </w:p>
        </w:tc>
        <w:tc>
          <w:tcPr>
            <w:tcW w:w="3840" w:type="dxa"/>
            <w:tcBorders>
              <w:top w:val="single" w:sz="4" w:space="0" w:color="auto"/>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企业对营养强化产品的促销策略研究--以大米为例</w:t>
            </w:r>
          </w:p>
        </w:tc>
        <w:tc>
          <w:tcPr>
            <w:tcW w:w="1282" w:type="dxa"/>
            <w:tcBorders>
              <w:top w:val="single" w:sz="4" w:space="0" w:color="auto"/>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2000</w:t>
            </w:r>
          </w:p>
        </w:tc>
      </w:tr>
      <w:tr w:rsidR="00FA437F" w:rsidRPr="00014CEF" w:rsidTr="00FA437F">
        <w:trPr>
          <w:trHeight w:val="499"/>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22</w:t>
            </w:r>
          </w:p>
        </w:tc>
        <w:tc>
          <w:tcPr>
            <w:tcW w:w="1547" w:type="dxa"/>
            <w:tcBorders>
              <w:top w:val="single" w:sz="4" w:space="0" w:color="auto"/>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企业管理</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杨彩艳</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齐振宏</w:t>
            </w:r>
          </w:p>
        </w:tc>
        <w:tc>
          <w:tcPr>
            <w:tcW w:w="3840" w:type="dxa"/>
            <w:tcBorders>
              <w:top w:val="single" w:sz="4" w:space="0" w:color="auto"/>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农业社会化服务对农业生产效率的影响关系研究</w:t>
            </w:r>
          </w:p>
        </w:tc>
        <w:tc>
          <w:tcPr>
            <w:tcW w:w="1282" w:type="dxa"/>
            <w:tcBorders>
              <w:top w:val="single" w:sz="4" w:space="0" w:color="auto"/>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2000</w:t>
            </w:r>
          </w:p>
        </w:tc>
      </w:tr>
      <w:tr w:rsidR="00FA437F" w:rsidRPr="00014CEF" w:rsidTr="00FA437F">
        <w:trPr>
          <w:trHeight w:val="499"/>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23</w:t>
            </w:r>
          </w:p>
        </w:tc>
        <w:tc>
          <w:tcPr>
            <w:tcW w:w="1547" w:type="dxa"/>
            <w:tcBorders>
              <w:top w:val="single" w:sz="4" w:space="0" w:color="auto"/>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企业管理</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刘哲</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 xml:space="preserve">王淅勤 </w:t>
            </w:r>
          </w:p>
        </w:tc>
        <w:tc>
          <w:tcPr>
            <w:tcW w:w="3840" w:type="dxa"/>
            <w:tcBorders>
              <w:top w:val="single" w:sz="4" w:space="0" w:color="auto"/>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 xml:space="preserve">农业经济主体的产业链延伸及风险防范     </w:t>
            </w:r>
            <w:r w:rsidRPr="00014CEF">
              <w:rPr>
                <w:rFonts w:ascii="宋体" w:eastAsia="宋体" w:hAnsi="宋体" w:cs="宋体" w:hint="eastAsia"/>
                <w:color w:val="000000"/>
                <w:kern w:val="0"/>
                <w:sz w:val="20"/>
                <w:szCs w:val="20"/>
              </w:rPr>
              <w:br/>
              <w:t>—基于农民合作社研究</w:t>
            </w:r>
          </w:p>
        </w:tc>
        <w:tc>
          <w:tcPr>
            <w:tcW w:w="1282" w:type="dxa"/>
            <w:tcBorders>
              <w:top w:val="single" w:sz="4" w:space="0" w:color="auto"/>
              <w:left w:val="nil"/>
              <w:bottom w:val="single" w:sz="4" w:space="0" w:color="auto"/>
              <w:right w:val="single" w:sz="4" w:space="0" w:color="auto"/>
            </w:tcBorders>
            <w:shd w:val="clear" w:color="000000" w:fill="FFFFFF"/>
            <w:vAlign w:val="center"/>
            <w:hideMark/>
          </w:tcPr>
          <w:p w:rsidR="00FA437F" w:rsidRPr="00014CEF" w:rsidRDefault="00FA437F" w:rsidP="00014CEF">
            <w:pPr>
              <w:widowControl/>
              <w:jc w:val="center"/>
              <w:rPr>
                <w:rFonts w:ascii="宋体" w:eastAsia="宋体" w:hAnsi="宋体" w:cs="宋体"/>
                <w:color w:val="000000"/>
                <w:kern w:val="0"/>
                <w:sz w:val="20"/>
                <w:szCs w:val="20"/>
              </w:rPr>
            </w:pPr>
            <w:r w:rsidRPr="00014CEF">
              <w:rPr>
                <w:rFonts w:ascii="宋体" w:eastAsia="宋体" w:hAnsi="宋体" w:cs="宋体" w:hint="eastAsia"/>
                <w:color w:val="000000"/>
                <w:kern w:val="0"/>
                <w:sz w:val="20"/>
                <w:szCs w:val="20"/>
              </w:rPr>
              <w:t>2000</w:t>
            </w:r>
          </w:p>
        </w:tc>
      </w:tr>
    </w:tbl>
    <w:p w:rsidR="00434E5D" w:rsidRDefault="00434E5D" w:rsidP="006B2134">
      <w:pPr>
        <w:rPr>
          <w:rFonts w:asciiTheme="minorEastAsia" w:hAnsiTheme="minorEastAsia"/>
          <w:sz w:val="28"/>
          <w:szCs w:val="28"/>
        </w:rPr>
      </w:pPr>
    </w:p>
    <w:p w:rsidR="000A409E" w:rsidRDefault="000A409E">
      <w:pPr>
        <w:widowControl/>
        <w:jc w:val="left"/>
        <w:rPr>
          <w:rFonts w:asciiTheme="minorEastAsia" w:hAnsiTheme="minorEastAsia"/>
          <w:sz w:val="28"/>
          <w:szCs w:val="28"/>
        </w:rPr>
      </w:pPr>
    </w:p>
    <w:sectPr w:rsidR="000A409E" w:rsidSect="00A17B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265" w:rsidRDefault="00872265" w:rsidP="006B2134">
      <w:r>
        <w:separator/>
      </w:r>
    </w:p>
  </w:endnote>
  <w:endnote w:type="continuationSeparator" w:id="0">
    <w:p w:rsidR="00872265" w:rsidRDefault="00872265" w:rsidP="006B2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265" w:rsidRDefault="00872265" w:rsidP="006B2134">
      <w:r>
        <w:separator/>
      </w:r>
    </w:p>
  </w:footnote>
  <w:footnote w:type="continuationSeparator" w:id="0">
    <w:p w:rsidR="00872265" w:rsidRDefault="00872265" w:rsidP="006B21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134"/>
    <w:rsid w:val="00014CEF"/>
    <w:rsid w:val="000A409E"/>
    <w:rsid w:val="00132C6B"/>
    <w:rsid w:val="001675EF"/>
    <w:rsid w:val="0025251F"/>
    <w:rsid w:val="0030279D"/>
    <w:rsid w:val="00302D96"/>
    <w:rsid w:val="00434E5D"/>
    <w:rsid w:val="00446E88"/>
    <w:rsid w:val="0049799E"/>
    <w:rsid w:val="005C3A3C"/>
    <w:rsid w:val="00602F35"/>
    <w:rsid w:val="00611F8E"/>
    <w:rsid w:val="006438E0"/>
    <w:rsid w:val="006B2134"/>
    <w:rsid w:val="00731821"/>
    <w:rsid w:val="00766AFE"/>
    <w:rsid w:val="007D3635"/>
    <w:rsid w:val="0086075C"/>
    <w:rsid w:val="0086758A"/>
    <w:rsid w:val="00872265"/>
    <w:rsid w:val="008745BB"/>
    <w:rsid w:val="008E69C9"/>
    <w:rsid w:val="009A0AAC"/>
    <w:rsid w:val="00A17B16"/>
    <w:rsid w:val="00AA2001"/>
    <w:rsid w:val="00AA7A4A"/>
    <w:rsid w:val="00B82659"/>
    <w:rsid w:val="00BF79C0"/>
    <w:rsid w:val="00C14458"/>
    <w:rsid w:val="00C92669"/>
    <w:rsid w:val="00DB0278"/>
    <w:rsid w:val="00DF4B62"/>
    <w:rsid w:val="00EC604F"/>
    <w:rsid w:val="00FA437F"/>
    <w:rsid w:val="00FB1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4D96331-CD47-480A-B214-73E546D04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7B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B213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6B2134"/>
    <w:rPr>
      <w:sz w:val="18"/>
      <w:szCs w:val="18"/>
    </w:rPr>
  </w:style>
  <w:style w:type="paragraph" w:styleId="a5">
    <w:name w:val="footer"/>
    <w:basedOn w:val="a"/>
    <w:link w:val="a6"/>
    <w:uiPriority w:val="99"/>
    <w:semiHidden/>
    <w:unhideWhenUsed/>
    <w:rsid w:val="006B2134"/>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6B2134"/>
    <w:rPr>
      <w:sz w:val="18"/>
      <w:szCs w:val="18"/>
    </w:rPr>
  </w:style>
  <w:style w:type="paragraph" w:styleId="a7">
    <w:name w:val="Balloon Text"/>
    <w:basedOn w:val="a"/>
    <w:link w:val="a8"/>
    <w:uiPriority w:val="99"/>
    <w:semiHidden/>
    <w:unhideWhenUsed/>
    <w:rsid w:val="006B2134"/>
    <w:rPr>
      <w:sz w:val="18"/>
      <w:szCs w:val="18"/>
    </w:rPr>
  </w:style>
  <w:style w:type="character" w:customStyle="1" w:styleId="a8">
    <w:name w:val="批注框文本 字符"/>
    <w:basedOn w:val="a0"/>
    <w:link w:val="a7"/>
    <w:uiPriority w:val="99"/>
    <w:semiHidden/>
    <w:rsid w:val="006B213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876421">
      <w:bodyDiv w:val="1"/>
      <w:marLeft w:val="0"/>
      <w:marRight w:val="0"/>
      <w:marTop w:val="0"/>
      <w:marBottom w:val="0"/>
      <w:divBdr>
        <w:top w:val="none" w:sz="0" w:space="0" w:color="auto"/>
        <w:left w:val="none" w:sz="0" w:space="0" w:color="auto"/>
        <w:bottom w:val="none" w:sz="0" w:space="0" w:color="auto"/>
        <w:right w:val="none" w:sz="0" w:space="0" w:color="auto"/>
      </w:divBdr>
    </w:div>
    <w:div w:id="589853390">
      <w:bodyDiv w:val="1"/>
      <w:marLeft w:val="0"/>
      <w:marRight w:val="0"/>
      <w:marTop w:val="0"/>
      <w:marBottom w:val="0"/>
      <w:divBdr>
        <w:top w:val="none" w:sz="0" w:space="0" w:color="auto"/>
        <w:left w:val="none" w:sz="0" w:space="0" w:color="auto"/>
        <w:bottom w:val="none" w:sz="0" w:space="0" w:color="auto"/>
        <w:right w:val="none" w:sz="0" w:space="0" w:color="auto"/>
      </w:divBdr>
    </w:div>
    <w:div w:id="602492057">
      <w:bodyDiv w:val="1"/>
      <w:marLeft w:val="0"/>
      <w:marRight w:val="0"/>
      <w:marTop w:val="0"/>
      <w:marBottom w:val="0"/>
      <w:divBdr>
        <w:top w:val="none" w:sz="0" w:space="0" w:color="auto"/>
        <w:left w:val="none" w:sz="0" w:space="0" w:color="auto"/>
        <w:bottom w:val="none" w:sz="0" w:space="0" w:color="auto"/>
        <w:right w:val="none" w:sz="0" w:space="0" w:color="auto"/>
      </w:divBdr>
    </w:div>
    <w:div w:id="692027103">
      <w:bodyDiv w:val="1"/>
      <w:marLeft w:val="0"/>
      <w:marRight w:val="0"/>
      <w:marTop w:val="0"/>
      <w:marBottom w:val="0"/>
      <w:divBdr>
        <w:top w:val="none" w:sz="0" w:space="0" w:color="auto"/>
        <w:left w:val="none" w:sz="0" w:space="0" w:color="auto"/>
        <w:bottom w:val="none" w:sz="0" w:space="0" w:color="auto"/>
        <w:right w:val="none" w:sz="0" w:space="0" w:color="auto"/>
      </w:divBdr>
    </w:div>
    <w:div w:id="785730864">
      <w:bodyDiv w:val="1"/>
      <w:marLeft w:val="0"/>
      <w:marRight w:val="0"/>
      <w:marTop w:val="0"/>
      <w:marBottom w:val="0"/>
      <w:divBdr>
        <w:top w:val="none" w:sz="0" w:space="0" w:color="auto"/>
        <w:left w:val="none" w:sz="0" w:space="0" w:color="auto"/>
        <w:bottom w:val="none" w:sz="0" w:space="0" w:color="auto"/>
        <w:right w:val="none" w:sz="0" w:space="0" w:color="auto"/>
      </w:divBdr>
    </w:div>
    <w:div w:id="919174021">
      <w:bodyDiv w:val="1"/>
      <w:marLeft w:val="0"/>
      <w:marRight w:val="0"/>
      <w:marTop w:val="0"/>
      <w:marBottom w:val="0"/>
      <w:divBdr>
        <w:top w:val="none" w:sz="0" w:space="0" w:color="auto"/>
        <w:left w:val="none" w:sz="0" w:space="0" w:color="auto"/>
        <w:bottom w:val="none" w:sz="0" w:space="0" w:color="auto"/>
        <w:right w:val="none" w:sz="0" w:space="0" w:color="auto"/>
      </w:divBdr>
    </w:div>
    <w:div w:id="951861011">
      <w:bodyDiv w:val="1"/>
      <w:marLeft w:val="0"/>
      <w:marRight w:val="0"/>
      <w:marTop w:val="0"/>
      <w:marBottom w:val="0"/>
      <w:divBdr>
        <w:top w:val="none" w:sz="0" w:space="0" w:color="auto"/>
        <w:left w:val="none" w:sz="0" w:space="0" w:color="auto"/>
        <w:bottom w:val="none" w:sz="0" w:space="0" w:color="auto"/>
        <w:right w:val="none" w:sz="0" w:space="0" w:color="auto"/>
      </w:divBdr>
    </w:div>
    <w:div w:id="990476729">
      <w:bodyDiv w:val="1"/>
      <w:marLeft w:val="0"/>
      <w:marRight w:val="0"/>
      <w:marTop w:val="0"/>
      <w:marBottom w:val="0"/>
      <w:divBdr>
        <w:top w:val="none" w:sz="0" w:space="0" w:color="auto"/>
        <w:left w:val="none" w:sz="0" w:space="0" w:color="auto"/>
        <w:bottom w:val="none" w:sz="0" w:space="0" w:color="auto"/>
        <w:right w:val="none" w:sz="0" w:space="0" w:color="auto"/>
      </w:divBdr>
    </w:div>
    <w:div w:id="1111509810">
      <w:bodyDiv w:val="1"/>
      <w:marLeft w:val="0"/>
      <w:marRight w:val="0"/>
      <w:marTop w:val="0"/>
      <w:marBottom w:val="0"/>
      <w:divBdr>
        <w:top w:val="none" w:sz="0" w:space="0" w:color="auto"/>
        <w:left w:val="none" w:sz="0" w:space="0" w:color="auto"/>
        <w:bottom w:val="none" w:sz="0" w:space="0" w:color="auto"/>
        <w:right w:val="none" w:sz="0" w:space="0" w:color="auto"/>
      </w:divBdr>
    </w:div>
    <w:div w:id="1311834820">
      <w:bodyDiv w:val="1"/>
      <w:marLeft w:val="0"/>
      <w:marRight w:val="0"/>
      <w:marTop w:val="0"/>
      <w:marBottom w:val="0"/>
      <w:divBdr>
        <w:top w:val="none" w:sz="0" w:space="0" w:color="auto"/>
        <w:left w:val="none" w:sz="0" w:space="0" w:color="auto"/>
        <w:bottom w:val="none" w:sz="0" w:space="0" w:color="auto"/>
        <w:right w:val="none" w:sz="0" w:space="0" w:color="auto"/>
      </w:divBdr>
    </w:div>
    <w:div w:id="1340038970">
      <w:bodyDiv w:val="1"/>
      <w:marLeft w:val="0"/>
      <w:marRight w:val="0"/>
      <w:marTop w:val="0"/>
      <w:marBottom w:val="0"/>
      <w:divBdr>
        <w:top w:val="none" w:sz="0" w:space="0" w:color="auto"/>
        <w:left w:val="none" w:sz="0" w:space="0" w:color="auto"/>
        <w:bottom w:val="none" w:sz="0" w:space="0" w:color="auto"/>
        <w:right w:val="none" w:sz="0" w:space="0" w:color="auto"/>
      </w:divBdr>
    </w:div>
    <w:div w:id="1526862759">
      <w:bodyDiv w:val="1"/>
      <w:marLeft w:val="0"/>
      <w:marRight w:val="0"/>
      <w:marTop w:val="0"/>
      <w:marBottom w:val="0"/>
      <w:divBdr>
        <w:top w:val="none" w:sz="0" w:space="0" w:color="auto"/>
        <w:left w:val="none" w:sz="0" w:space="0" w:color="auto"/>
        <w:bottom w:val="none" w:sz="0" w:space="0" w:color="auto"/>
        <w:right w:val="none" w:sz="0" w:space="0" w:color="auto"/>
      </w:divBdr>
    </w:div>
    <w:div w:id="1675719311">
      <w:bodyDiv w:val="1"/>
      <w:marLeft w:val="0"/>
      <w:marRight w:val="0"/>
      <w:marTop w:val="0"/>
      <w:marBottom w:val="0"/>
      <w:divBdr>
        <w:top w:val="none" w:sz="0" w:space="0" w:color="auto"/>
        <w:left w:val="none" w:sz="0" w:space="0" w:color="auto"/>
        <w:bottom w:val="none" w:sz="0" w:space="0" w:color="auto"/>
        <w:right w:val="none" w:sz="0" w:space="0" w:color="auto"/>
      </w:divBdr>
    </w:div>
    <w:div w:id="1787504667">
      <w:bodyDiv w:val="1"/>
      <w:marLeft w:val="0"/>
      <w:marRight w:val="0"/>
      <w:marTop w:val="0"/>
      <w:marBottom w:val="0"/>
      <w:divBdr>
        <w:top w:val="none" w:sz="0" w:space="0" w:color="auto"/>
        <w:left w:val="none" w:sz="0" w:space="0" w:color="auto"/>
        <w:bottom w:val="none" w:sz="0" w:space="0" w:color="auto"/>
        <w:right w:val="none" w:sz="0" w:space="0" w:color="auto"/>
      </w:divBdr>
    </w:div>
    <w:div w:id="1893154178">
      <w:bodyDiv w:val="1"/>
      <w:marLeft w:val="0"/>
      <w:marRight w:val="0"/>
      <w:marTop w:val="0"/>
      <w:marBottom w:val="0"/>
      <w:divBdr>
        <w:top w:val="none" w:sz="0" w:space="0" w:color="auto"/>
        <w:left w:val="none" w:sz="0" w:space="0" w:color="auto"/>
        <w:bottom w:val="none" w:sz="0" w:space="0" w:color="auto"/>
        <w:right w:val="none" w:sz="0" w:space="0" w:color="auto"/>
      </w:divBdr>
    </w:div>
    <w:div w:id="204953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1042</Characters>
  <Application>Microsoft Office Word</Application>
  <DocSecurity>0</DocSecurity>
  <Lines>8</Lines>
  <Paragraphs>2</Paragraphs>
  <ScaleCrop>false</ScaleCrop>
  <Company>Www.SangSan.Cn</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桑三博客</dc:creator>
  <cp:keywords/>
  <dc:description/>
  <cp:lastModifiedBy>526977081@qq.com</cp:lastModifiedBy>
  <cp:revision>6</cp:revision>
  <dcterms:created xsi:type="dcterms:W3CDTF">2017-11-13T08:08:00Z</dcterms:created>
  <dcterms:modified xsi:type="dcterms:W3CDTF">2017-11-13T08:31:00Z</dcterms:modified>
</cp:coreProperties>
</file>